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94" w:rsidRPr="00154B90" w:rsidRDefault="00381894" w:rsidP="001B25C9">
      <w:pPr>
        <w:pStyle w:val="afff9"/>
      </w:pPr>
      <w:bookmarkStart w:id="0" w:name="_GoBack"/>
      <w:bookmarkEnd w:id="0"/>
      <w:r w:rsidRPr="00154B90">
        <w:t xml:space="preserve">Извещение </w:t>
      </w:r>
    </w:p>
    <w:p w:rsidR="00381894" w:rsidRPr="00273A5F" w:rsidRDefault="00381894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381894" w:rsidRPr="00273A5F" w:rsidRDefault="00381894" w:rsidP="001B25C9">
      <w:pPr>
        <w:pStyle w:val="afff9"/>
      </w:pPr>
      <w:r w:rsidRPr="00273A5F">
        <w:t xml:space="preserve">в электронной форме № </w:t>
      </w:r>
      <w:r w:rsidRPr="00D84C7F">
        <w:rPr>
          <w:noProof/>
        </w:rPr>
        <w:t>110746</w:t>
      </w:r>
    </w:p>
    <w:p w:rsidR="00381894" w:rsidRPr="00273A5F" w:rsidRDefault="00381894" w:rsidP="001B25C9">
      <w:pPr>
        <w:pStyle w:val="afff9"/>
      </w:pPr>
      <w:r w:rsidRPr="00273A5F">
        <w:t>по отбору организации на поставку товаров</w:t>
      </w:r>
    </w:p>
    <w:p w:rsidR="00381894" w:rsidRPr="00273A5F" w:rsidRDefault="00381894" w:rsidP="001B25C9">
      <w:pPr>
        <w:pStyle w:val="afff9"/>
      </w:pPr>
      <w:r w:rsidRPr="00273A5F">
        <w:t xml:space="preserve"> по номенклатурной группе:</w:t>
      </w:r>
    </w:p>
    <w:p w:rsidR="00381894" w:rsidRPr="00273A5F" w:rsidRDefault="00381894" w:rsidP="001B25C9">
      <w:pPr>
        <w:pStyle w:val="afff9"/>
      </w:pPr>
      <w:r w:rsidRPr="00D84C7F">
        <w:rPr>
          <w:noProof/>
        </w:rPr>
        <w:t>Приборы учета</w:t>
      </w:r>
    </w:p>
    <w:p w:rsidR="00381894" w:rsidRPr="00273A5F" w:rsidRDefault="00381894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90"/>
        <w:gridCol w:w="13339"/>
      </w:tblGrid>
      <w:tr w:rsidR="00381894" w:rsidRPr="00273A5F" w:rsidTr="00015B5A">
        <w:tc>
          <w:tcPr>
            <w:tcW w:w="284" w:type="dxa"/>
            <w:shd w:val="pct5" w:color="auto" w:fill="auto"/>
          </w:tcPr>
          <w:p w:rsidR="00381894" w:rsidRPr="00273A5F" w:rsidRDefault="00381894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381894" w:rsidRPr="00273A5F" w:rsidRDefault="00381894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381894" w:rsidRPr="00273A5F" w:rsidRDefault="00381894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381894" w:rsidRPr="00273A5F" w:rsidRDefault="00381894" w:rsidP="006F5542">
            <w:r>
              <w:t>ООО "Брянск Газ-сервис"</w:t>
            </w:r>
          </w:p>
        </w:tc>
      </w:tr>
    </w:tbl>
    <w:p w:rsidR="00381894" w:rsidRPr="00273A5F" w:rsidRDefault="00381894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381894" w:rsidRPr="00273A5F" w:rsidTr="00015B5A">
        <w:tc>
          <w:tcPr>
            <w:tcW w:w="1274" w:type="pct"/>
            <w:shd w:val="pct5" w:color="auto" w:fill="auto"/>
            <w:hideMark/>
          </w:tcPr>
          <w:p w:rsidR="00381894" w:rsidRPr="00273A5F" w:rsidRDefault="00381894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381894" w:rsidRPr="00273A5F" w:rsidRDefault="00381894" w:rsidP="006F5542"/>
        </w:tc>
      </w:tr>
      <w:tr w:rsidR="00381894" w:rsidRPr="00273A5F" w:rsidTr="00015B5A">
        <w:tc>
          <w:tcPr>
            <w:tcW w:w="1274" w:type="pct"/>
            <w:shd w:val="pct5" w:color="auto" w:fill="auto"/>
          </w:tcPr>
          <w:p w:rsidR="00381894" w:rsidRPr="00381894" w:rsidRDefault="00381894" w:rsidP="006F5542">
            <w:pPr>
              <w:rPr>
                <w:b/>
              </w:rPr>
            </w:pPr>
            <w:r w:rsidRPr="00381894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381894" w:rsidRPr="00273A5F" w:rsidRDefault="00381894" w:rsidP="006F5542">
            <w:r>
              <w:t>ООО "Брянск Газ-сервис"</w:t>
            </w:r>
          </w:p>
        </w:tc>
      </w:tr>
      <w:tr w:rsidR="00381894" w:rsidRPr="00273A5F" w:rsidTr="00015B5A">
        <w:tc>
          <w:tcPr>
            <w:tcW w:w="1274" w:type="pct"/>
            <w:shd w:val="pct5" w:color="auto" w:fill="auto"/>
          </w:tcPr>
          <w:p w:rsidR="00381894" w:rsidRDefault="00381894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381894" w:rsidRDefault="00381894" w:rsidP="006F5542">
            <w:r>
              <w:t>241033, Брянская область, г. Брянск, ул. Щукина, д. 58</w:t>
            </w:r>
          </w:p>
        </w:tc>
      </w:tr>
      <w:tr w:rsidR="00381894" w:rsidRPr="00273A5F" w:rsidTr="00015B5A">
        <w:tc>
          <w:tcPr>
            <w:tcW w:w="1274" w:type="pct"/>
            <w:shd w:val="pct5" w:color="auto" w:fill="auto"/>
          </w:tcPr>
          <w:p w:rsidR="00381894" w:rsidRDefault="00381894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381894" w:rsidRDefault="00381894" w:rsidP="006F5542">
            <w:r>
              <w:t>241033, Брянская область, г. Брянск, ул. Щукина, д. 58</w:t>
            </w:r>
          </w:p>
        </w:tc>
      </w:tr>
      <w:tr w:rsidR="00381894" w:rsidRPr="00273A5F" w:rsidTr="00015B5A">
        <w:tc>
          <w:tcPr>
            <w:tcW w:w="1274" w:type="pct"/>
            <w:shd w:val="pct5" w:color="auto" w:fill="auto"/>
          </w:tcPr>
          <w:p w:rsidR="00381894" w:rsidRDefault="00381894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381894" w:rsidRDefault="00381894" w:rsidP="006F5542">
            <w:r>
              <w:t>241033, Брянская область, г. Брянск, ул. Щукина, д. 58</w:t>
            </w:r>
          </w:p>
        </w:tc>
      </w:tr>
      <w:tr w:rsidR="00381894" w:rsidRPr="00273A5F" w:rsidTr="00015B5A">
        <w:tc>
          <w:tcPr>
            <w:tcW w:w="1274" w:type="pct"/>
            <w:shd w:val="pct5" w:color="auto" w:fill="auto"/>
          </w:tcPr>
          <w:p w:rsidR="00381894" w:rsidRDefault="00381894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381894" w:rsidRDefault="00381894" w:rsidP="006F5542">
            <w:r>
              <w:t>отсутствует</w:t>
            </w:r>
          </w:p>
        </w:tc>
      </w:tr>
      <w:tr w:rsidR="00381894" w:rsidRPr="00273A5F" w:rsidTr="00015B5A">
        <w:tc>
          <w:tcPr>
            <w:tcW w:w="1274" w:type="pct"/>
            <w:shd w:val="pct5" w:color="auto" w:fill="auto"/>
          </w:tcPr>
          <w:p w:rsidR="00381894" w:rsidRDefault="00381894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381894" w:rsidRDefault="00381894" w:rsidP="006F5542">
            <w:r>
              <w:t>zakupki@gro32.ru</w:t>
            </w:r>
          </w:p>
        </w:tc>
      </w:tr>
      <w:tr w:rsidR="00381894" w:rsidRPr="00273A5F" w:rsidTr="00015B5A">
        <w:tc>
          <w:tcPr>
            <w:tcW w:w="1274" w:type="pct"/>
            <w:shd w:val="pct5" w:color="auto" w:fill="auto"/>
          </w:tcPr>
          <w:p w:rsidR="00381894" w:rsidRDefault="00381894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381894" w:rsidRDefault="00381894" w:rsidP="006F5542">
            <w:r>
              <w:t>(4832) 589931</w:t>
            </w:r>
          </w:p>
        </w:tc>
      </w:tr>
      <w:tr w:rsidR="00381894" w:rsidRPr="00273A5F" w:rsidTr="00015B5A">
        <w:tc>
          <w:tcPr>
            <w:tcW w:w="1274" w:type="pct"/>
            <w:shd w:val="pct5" w:color="auto" w:fill="auto"/>
          </w:tcPr>
          <w:p w:rsidR="00381894" w:rsidRDefault="00381894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381894" w:rsidRDefault="00381894" w:rsidP="006F5542">
            <w:r>
              <w:t>(4832) 413436</w:t>
            </w:r>
          </w:p>
        </w:tc>
      </w:tr>
    </w:tbl>
    <w:p w:rsidR="00381894" w:rsidRPr="00273A5F" w:rsidRDefault="00381894" w:rsidP="001B25C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381894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1894" w:rsidRPr="00273A5F" w:rsidRDefault="00381894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381894" w:rsidRPr="00273A5F" w:rsidRDefault="00381894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381894" w:rsidRPr="00273A5F" w:rsidRDefault="00381894" w:rsidP="001B25C9">
            <w:pPr>
              <w:pStyle w:val="afff5"/>
            </w:pPr>
            <w:r w:rsidRPr="00273A5F">
              <w:t>Телефон: (812) 449-34-77</w:t>
            </w:r>
          </w:p>
          <w:p w:rsidR="00381894" w:rsidRPr="00273A5F" w:rsidRDefault="00381894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D84C7F">
              <w:rPr>
                <w:noProof/>
                <w:highlight w:val="lightGray"/>
              </w:rPr>
              <w:t>Косенков Иван Александрович</w:t>
            </w:r>
          </w:p>
          <w:p w:rsidR="00381894" w:rsidRPr="00273A5F" w:rsidRDefault="00381894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381894" w:rsidRDefault="00381894" w:rsidP="00B63779">
            <w:pPr>
              <w:pStyle w:val="afff5"/>
            </w:pPr>
            <w:r>
              <w:t xml:space="preserve">info@gazenergoinform.ru </w:t>
            </w:r>
          </w:p>
          <w:p w:rsidR="00381894" w:rsidRDefault="00381894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381894" w:rsidRPr="00273A5F" w:rsidRDefault="00381894" w:rsidP="00B63779">
            <w:pPr>
              <w:pStyle w:val="afff5"/>
            </w:pPr>
            <w:r>
              <w:lastRenderedPageBreak/>
              <w:t>электронный адрес –info@gazenergoinform.ru</w:t>
            </w:r>
          </w:p>
          <w:p w:rsidR="00381894" w:rsidRPr="00273A5F" w:rsidRDefault="00381894" w:rsidP="001B25C9">
            <w:pPr>
              <w:pStyle w:val="afff5"/>
            </w:pP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1B25C9">
            <w:pPr>
              <w:pStyle w:val="afff5"/>
            </w:pPr>
            <w:r w:rsidRPr="00273A5F">
              <w:t>www.gazneftetorg.ru</w:t>
            </w: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D84C7F">
              <w:rPr>
                <w:noProof/>
              </w:rPr>
              <w:t>110746</w:t>
            </w:r>
          </w:p>
        </w:tc>
      </w:tr>
    </w:tbl>
    <w:p w:rsidR="00381894" w:rsidRDefault="00381894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381894" w:rsidTr="00381894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81894" w:rsidRDefault="00381894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81894" w:rsidRDefault="00381894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381894" w:rsidTr="00F812D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Прибор учета газа бытовой Омега РЛ G6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"Брянск Газ-сервис"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894" w:rsidRDefault="0038189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Брянская область, г. Брянск, ул. Щукина, д. 60А</w:t>
            </w:r>
          </w:p>
        </w:tc>
      </w:tr>
      <w:tr w:rsidR="00381894" w:rsidTr="000F5F04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894" w:rsidRDefault="00381894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894" w:rsidRDefault="0038189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Номинальный расход, Qnom. м3/час 6,0 Максимальный расход, Qmax, м3/час 10,0 Минимальный расход, Qmin, м3/час 0,08 Порог чувствительности (начало учета расхода) (Qstart), м³/ч 0,016 Рабочее избыточное давление, кПа 50 Диаметр условного прохода, мм 20 Температура окружающей и измеряемой среды, °С от минус 25 до плюс 50 Гарантийный срок эксплуатации, лет, не менее 5 Средний срок службы, лет, не менее 20 Габаритные размеры, мм 160х100х100 Масса, кг 2,3</w:t>
            </w:r>
          </w:p>
          <w:p w:rsidR="00381894" w:rsidRDefault="0038189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Производитель: ПАО «Ямпольский приборостроительный завод»</w:t>
            </w:r>
          </w:p>
          <w:p w:rsidR="00381894" w:rsidRDefault="0038189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Предназначены  для дальнейшей перепродажи через торговую сеть.</w:t>
            </w:r>
          </w:p>
          <w:p w:rsidR="00381894" w:rsidRDefault="00381894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ТУ 30067745.001-2009</w:t>
            </w:r>
          </w:p>
        </w:tc>
      </w:tr>
    </w:tbl>
    <w:p w:rsidR="00381894" w:rsidRDefault="00381894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381894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381894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381894" w:rsidRPr="00273A5F" w:rsidRDefault="00381894" w:rsidP="00D20E87">
            <w:pPr>
              <w:pStyle w:val="afff5"/>
            </w:pPr>
          </w:p>
          <w:p w:rsidR="00381894" w:rsidRPr="00273A5F" w:rsidRDefault="00381894" w:rsidP="00D20E87">
            <w:pPr>
              <w:pStyle w:val="afff5"/>
            </w:pPr>
            <w:r w:rsidRPr="00D84C7F">
              <w:rPr>
                <w:noProof/>
              </w:rPr>
              <w:t>856 000,00</w:t>
            </w:r>
            <w:r w:rsidRPr="00273A5F">
              <w:t xml:space="preserve"> руб.</w:t>
            </w:r>
          </w:p>
          <w:p w:rsidR="00381894" w:rsidRPr="00273A5F" w:rsidRDefault="00381894" w:rsidP="00D20E87">
            <w:pPr>
              <w:pStyle w:val="afff5"/>
            </w:pPr>
          </w:p>
          <w:p w:rsidR="00381894" w:rsidRPr="00273A5F" w:rsidRDefault="00381894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381894" w:rsidRPr="00273A5F" w:rsidRDefault="00381894" w:rsidP="00986EAC">
            <w:pPr>
              <w:pStyle w:val="afff5"/>
            </w:pPr>
            <w:r w:rsidRPr="00D84C7F">
              <w:rPr>
                <w:noProof/>
              </w:rPr>
              <w:t>725 423,73</w:t>
            </w:r>
            <w:r w:rsidRPr="00273A5F">
              <w:t xml:space="preserve"> руб.</w:t>
            </w: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381894" w:rsidRPr="00273A5F" w:rsidRDefault="00381894" w:rsidP="006F5542">
            <w:pPr>
              <w:pStyle w:val="afff5"/>
            </w:pPr>
          </w:p>
          <w:p w:rsidR="00381894" w:rsidRPr="00273A5F" w:rsidRDefault="00381894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1894" w:rsidRPr="00273A5F" w:rsidRDefault="00381894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381894" w:rsidRPr="00273A5F" w:rsidRDefault="00381894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1894" w:rsidRPr="00273A5F" w:rsidRDefault="00381894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1894" w:rsidRPr="00273A5F" w:rsidRDefault="00381894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381894" w:rsidRPr="00273A5F" w:rsidRDefault="00381894" w:rsidP="006F5542">
            <w:pPr>
              <w:pStyle w:val="afff5"/>
            </w:pPr>
          </w:p>
          <w:p w:rsidR="00381894" w:rsidRPr="00273A5F" w:rsidRDefault="00381894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D84C7F">
              <w:rPr>
                <w:noProof/>
                <w:highlight w:val="lightGray"/>
              </w:rPr>
              <w:t>«25» января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381894" w:rsidRPr="00273A5F" w:rsidRDefault="00381894" w:rsidP="006F5542">
            <w:pPr>
              <w:pStyle w:val="afff5"/>
            </w:pPr>
          </w:p>
          <w:p w:rsidR="00381894" w:rsidRPr="00273A5F" w:rsidRDefault="00381894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D84C7F">
              <w:rPr>
                <w:noProof/>
                <w:highlight w:val="lightGray"/>
              </w:rPr>
              <w:t>«31» января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381894" w:rsidRPr="00273A5F" w:rsidRDefault="00381894" w:rsidP="006F5542">
            <w:pPr>
              <w:pStyle w:val="afff5"/>
              <w:rPr>
                <w:rFonts w:eastAsia="Calibri"/>
              </w:rPr>
            </w:pP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D84C7F">
              <w:rPr>
                <w:noProof/>
                <w:highlight w:val="lightGray"/>
              </w:rPr>
              <w:t>«31» января 2017</w:t>
            </w:r>
            <w:r w:rsidRPr="00273A5F">
              <w:t xml:space="preserve"> года, 12:00 (время московское).</w:t>
            </w:r>
          </w:p>
          <w:p w:rsidR="00381894" w:rsidRPr="00273A5F" w:rsidRDefault="00381894" w:rsidP="006F5542">
            <w:pPr>
              <w:pStyle w:val="afff5"/>
            </w:pP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381894" w:rsidRPr="00273A5F" w:rsidRDefault="00381894" w:rsidP="006F5542">
            <w:pPr>
              <w:pStyle w:val="afff5"/>
            </w:pPr>
          </w:p>
          <w:p w:rsidR="00381894" w:rsidRPr="00273A5F" w:rsidRDefault="00381894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D84C7F">
              <w:rPr>
                <w:noProof/>
                <w:highlight w:val="lightGray"/>
              </w:rPr>
              <w:t>«02» февраля 2017</w:t>
            </w:r>
            <w:r w:rsidRPr="00273A5F">
              <w:t xml:space="preserve"> года 16.00 (время московское).</w:t>
            </w:r>
          </w:p>
          <w:p w:rsidR="00381894" w:rsidRPr="00273A5F" w:rsidRDefault="00381894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D84C7F">
              <w:rPr>
                <w:noProof/>
                <w:highlight w:val="lightGray"/>
              </w:rPr>
              <w:t>«02»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381894" w:rsidRPr="00273A5F" w:rsidRDefault="00381894" w:rsidP="006F5542">
            <w:pPr>
              <w:pStyle w:val="afff5"/>
            </w:pP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381894" w:rsidRPr="00273A5F" w:rsidRDefault="00381894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38189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38189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1894" w:rsidRPr="00273A5F" w:rsidRDefault="00381894" w:rsidP="006F5542">
            <w:pPr>
              <w:pStyle w:val="afff5"/>
            </w:pPr>
            <w:r w:rsidRPr="00D84C7F">
              <w:rPr>
                <w:noProof/>
                <w:highlight w:val="lightGray"/>
              </w:rPr>
              <w:t>«25» января 2017</w:t>
            </w:r>
          </w:p>
        </w:tc>
      </w:tr>
    </w:tbl>
    <w:p w:rsidR="00381894" w:rsidRPr="00273A5F" w:rsidRDefault="00381894" w:rsidP="001B25C9"/>
    <w:p w:rsidR="00381894" w:rsidRPr="00273A5F" w:rsidRDefault="00381894" w:rsidP="00B35164">
      <w:pPr>
        <w:pStyle w:val="af4"/>
      </w:pPr>
    </w:p>
    <w:p w:rsidR="00381894" w:rsidRDefault="00381894" w:rsidP="00B35164">
      <w:pPr>
        <w:pStyle w:val="af4"/>
        <w:sectPr w:rsidR="00381894" w:rsidSect="00381894">
          <w:footerReference w:type="default" r:id="rId10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381894" w:rsidRPr="00273A5F" w:rsidRDefault="00381894" w:rsidP="00B35164">
      <w:pPr>
        <w:pStyle w:val="af4"/>
      </w:pPr>
    </w:p>
    <w:sectPr w:rsidR="00381894" w:rsidRPr="00273A5F" w:rsidSect="00381894">
      <w:footerReference w:type="default" r:id="rId11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9E" w:rsidRDefault="00CD139E">
      <w:r>
        <w:separator/>
      </w:r>
    </w:p>
    <w:p w:rsidR="00CD139E" w:rsidRDefault="00CD139E"/>
  </w:endnote>
  <w:endnote w:type="continuationSeparator" w:id="0">
    <w:p w:rsidR="00CD139E" w:rsidRDefault="00CD139E">
      <w:r>
        <w:continuationSeparator/>
      </w:r>
    </w:p>
    <w:p w:rsidR="00CD139E" w:rsidRDefault="00CD1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94" w:rsidRDefault="00381894">
    <w:pPr>
      <w:pStyle w:val="af0"/>
      <w:jc w:val="right"/>
    </w:pPr>
    <w:r>
      <w:t>______________________</w:t>
    </w:r>
  </w:p>
  <w:p w:rsidR="00381894" w:rsidRDefault="00381894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535882">
      <w:rPr>
        <w:noProof/>
      </w:rPr>
      <w:t>2</w:t>
    </w:r>
    <w:r>
      <w:fldChar w:fldCharType="end"/>
    </w:r>
    <w:r>
      <w:t xml:space="preserve"> из </w:t>
    </w:r>
    <w:r w:rsidR="00CD139E">
      <w:fldChar w:fldCharType="begin"/>
    </w:r>
    <w:r w:rsidR="00CD139E">
      <w:instrText xml:space="preserve"> NUMPAGES </w:instrText>
    </w:r>
    <w:r w:rsidR="00CD139E">
      <w:fldChar w:fldCharType="separate"/>
    </w:r>
    <w:r w:rsidR="00535882">
      <w:rPr>
        <w:noProof/>
      </w:rPr>
      <w:t>4</w:t>
    </w:r>
    <w:r w:rsidR="00CD139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381894">
      <w:rPr>
        <w:noProof/>
      </w:rPr>
      <w:t>1</w:t>
    </w:r>
    <w:r>
      <w:fldChar w:fldCharType="end"/>
    </w:r>
    <w:r>
      <w:t xml:space="preserve"> из </w:t>
    </w:r>
    <w:r w:rsidR="00CD139E">
      <w:fldChar w:fldCharType="begin"/>
    </w:r>
    <w:r w:rsidR="00CD139E">
      <w:instrText xml:space="preserve"> NUMPAGES </w:instrText>
    </w:r>
    <w:r w:rsidR="00CD139E">
      <w:fldChar w:fldCharType="separate"/>
    </w:r>
    <w:r w:rsidR="00381894">
      <w:rPr>
        <w:noProof/>
      </w:rPr>
      <w:t>1</w:t>
    </w:r>
    <w:r w:rsidR="00CD13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9E" w:rsidRDefault="00CD139E">
      <w:r>
        <w:separator/>
      </w:r>
    </w:p>
    <w:p w:rsidR="00CD139E" w:rsidRDefault="00CD139E"/>
  </w:footnote>
  <w:footnote w:type="continuationSeparator" w:id="0">
    <w:p w:rsidR="00CD139E" w:rsidRDefault="00CD139E">
      <w:r>
        <w:continuationSeparator/>
      </w:r>
    </w:p>
    <w:p w:rsidR="00CD139E" w:rsidRDefault="00CD13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 w15:restartNumberingAfterBreak="0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 w15:restartNumberingAfterBreak="0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 w15:restartNumberingAfterBreak="0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 w15:restartNumberingAfterBreak="0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1894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35882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139E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0F37D3-7465-4E7F-A54C-B06F8DB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7228A-110C-47FA-93EB-44A95DC8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Ольга Васильевна Слизкая</cp:lastModifiedBy>
  <cp:revision>2</cp:revision>
  <cp:lastPrinted>2008-11-06T15:50:00Z</cp:lastPrinted>
  <dcterms:created xsi:type="dcterms:W3CDTF">2017-01-24T11:25:00Z</dcterms:created>
  <dcterms:modified xsi:type="dcterms:W3CDTF">2017-01-24T11:25:00Z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